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6624"/>
        <w:gridCol w:w="3456"/>
      </w:tblGrid>
      <w:tr>
        <w:tc>
          <w:tcPr>
            <w:tcW w:type="dxa" w:w="5314"/>
            <w:tcBorders>
              <w:top w:val="nil"/>
              <w:left w:val="nil"/>
              <w:bottom w:val="nil"/>
              <w:right w:val="nil"/>
            </w:tcBorders>
          </w:tcPr>
          <w:p>
            <w:r/>
            <w:r>
              <w:rPr>
                <w:rFonts w:ascii="Arial" w:hAnsi="Arial" w:eastAsia="Arial"/>
                <w:b/>
                <w:color w:val="1F4E79"/>
                <w:sz w:val="25"/>
              </w:rPr>
              <w:t>Jiangyin Jinyu Packaging Materials Co., Ltd.</w:t>
            </w:r>
          </w:p>
          <w:p>
            <w:pPr>
              <w:spacing w:after="0"/>
            </w:pPr>
            <w:r>
              <w:rPr>
                <w:rFonts w:ascii="Arial" w:hAnsi="Arial" w:eastAsia="Arial"/>
                <w:sz w:val="17"/>
              </w:rPr>
              <w:t>www.jy-jy.com</w:t>
            </w:r>
          </w:p>
        </w:tc>
        <w:tc>
          <w:tcPr>
            <w:tcW w:type="dxa" w:w="5314"/>
            <w:tcBorders>
              <w:top w:val="nil"/>
              <w:left w:val="nil"/>
              <w:bottom w:val="nil"/>
              <w:right w:val="nil"/>
            </w:tcBorders>
          </w:tcPr>
          <w:p>
            <w:pPr>
              <w:jc w:val="right"/>
            </w:pPr>
            <w:r/>
            <w:r>
              <w:rPr>
                <w:rFonts w:ascii="Arial" w:hAnsi="Arial" w:eastAsia="Arial"/>
                <w:b/>
                <w:color w:val="1F4E79"/>
                <w:sz w:val="22"/>
              </w:rPr>
              <w:t>TECHNICAL DATA SHEET</w:t>
            </w:r>
          </w:p>
          <w:p>
            <w:pPr>
              <w:jc w:val="right"/>
            </w:pPr>
            <w:r>
              <w:rPr>
                <w:rFonts w:ascii="Arial" w:hAnsi="Arial" w:eastAsia="Arial"/>
                <w:sz w:val="16"/>
              </w:rPr>
              <w:t>Document No.: JY-TDS-PVC-FS-001</w:t>
              <w:br/>
              <w:t>Revision: 2026.05</w:t>
              <w:br/>
              <w:t>Language: English</w:t>
            </w:r>
          </w:p>
        </w:tc>
      </w:tr>
    </w:tbl>
    <w:tbl>
      <w:tblPr>
        <w:tblW w:type="auto" w:w="0"/>
        <w:tblLook w:firstColumn="1" w:firstRow="1" w:lastColumn="0" w:lastRow="0" w:noHBand="0" w:noVBand="1" w:val="04A0"/>
      </w:tblPr>
      <w:tblGrid>
        <w:gridCol w:w="10628"/>
      </w:tblGrid>
      <w:tr>
        <w:tc>
          <w:tcPr>
            <w:tcW w:type="dxa" w:w="10628"/>
            <w:shd w:fill="1F4E79"/>
            <w:tcBorders>
              <w:top w:sz="4" w:val="single" w:color="1F4E79"/>
              <w:left w:sz="4" w:val="single" w:color="1F4E79"/>
              <w:bottom w:sz="4" w:val="single" w:color="1F4E79"/>
              <w:right w:sz="4" w:val="single" w:color="1F4E79"/>
            </w:tcBorders>
          </w:tcPr>
          <w:p>
            <w:pPr>
              <w:jc w:val="center"/>
            </w:pPr>
            <w:r/>
            <w:r>
              <w:rPr>
                <w:rFonts w:ascii="Arial" w:hAnsi="Arial" w:eastAsia="Arial"/>
                <w:b/>
                <w:color w:val="FFFFFF"/>
                <w:sz w:val="25"/>
              </w:rPr>
              <w:t>DOP-Free PVC Foam Sealing Compound for Small Food Screw Caps</w:t>
            </w:r>
          </w:p>
        </w:tc>
      </w:tr>
    </w:tbl>
    <w:p>
      <w:pPr>
        <w:pStyle w:val="Heading1"/>
      </w:pPr>
      <w:r>
        <w:rPr>
          <w:rFonts w:ascii="Arial" w:hAnsi="Arial" w:eastAsia="Arial"/>
        </w:rPr>
        <w:t>1. Product Description</w:t>
      </w:r>
    </w:p>
    <w:p>
      <w:pPr>
        <w:spacing w:after="0" w:line="240" w:lineRule="auto"/>
      </w:pPr>
      <w:r>
        <w:rPr>
          <w:rFonts w:ascii="Arial" w:hAnsi="Arial" w:eastAsia="Arial"/>
          <w:sz w:val="17"/>
        </w:rPr>
        <w:t>JY-PVC FS Series is a proprietary one-component, heat-curable PVC plastisol foam sealing compound developed for lining small metal screw caps, lug caps and twist-off closures used in food packaging applications.</w:t>
      </w:r>
    </w:p>
    <w:p>
      <w:pPr>
        <w:spacing w:after="0" w:line="240" w:lineRule="auto"/>
      </w:pPr>
      <w:r>
        <w:rPr>
          <w:rFonts w:ascii="Arial" w:hAnsi="Arial" w:eastAsia="Arial"/>
          <w:sz w:val="17"/>
        </w:rPr>
        <w:t>The compound is applied as a liquid bead and then baked to form a resilient cellular gasket. It is designed to provide stable dispensing, fine foam structure, good compression recovery and reliable sealing performance after proper curing.</w:t>
      </w:r>
    </w:p>
    <w:p>
      <w:pPr>
        <w:spacing w:after="0" w:line="240" w:lineRule="auto"/>
      </w:pPr>
      <w:r>
        <w:rPr>
          <w:rFonts w:ascii="Arial" w:hAnsi="Arial" w:eastAsia="Arial"/>
          <w:sz w:val="17"/>
        </w:rPr>
        <w:t>The product is formulated without DOP and uses a DOP-free plasticizer system. Food-contact suitability must be verified by migration, sensory and end-use compatibility testing according to the customer's target market and final closure conditions.</w:t>
      </w:r>
    </w:p>
    <w:p>
      <w:pPr>
        <w:pStyle w:val="Heading1"/>
      </w:pPr>
      <w:r>
        <w:rPr>
          <w:rFonts w:ascii="Arial" w:hAnsi="Arial" w:eastAsia="Arial"/>
        </w:rPr>
        <w:t>2. Typical Applications</w:t>
      </w:r>
    </w:p>
    <w:p>
      <w:pPr>
        <w:pStyle w:val="ListBullet"/>
        <w:spacing w:after="0"/>
        <w:ind w:left="259"/>
      </w:pPr>
      <w:r>
        <w:rPr>
          <w:rFonts w:ascii="Arial" w:hAnsi="Arial" w:eastAsia="Arial"/>
          <w:sz w:val="17"/>
        </w:rPr>
        <w:t>Small metal screw caps, lug caps and twist-off caps for jars, cans and other rigid food containers.</w:t>
      </w:r>
    </w:p>
    <w:p>
      <w:pPr>
        <w:pStyle w:val="ListBullet"/>
        <w:spacing w:after="0"/>
        <w:ind w:left="259"/>
      </w:pPr>
      <w:r>
        <w:rPr>
          <w:rFonts w:ascii="Arial" w:hAnsi="Arial" w:eastAsia="Arial"/>
          <w:sz w:val="17"/>
        </w:rPr>
        <w:t>Sealing gaskets for dry food, powder, granular products, sauces, condiments and other food-contact applications after validation.</w:t>
      </w:r>
    </w:p>
    <w:p>
      <w:pPr>
        <w:pStyle w:val="ListBullet"/>
        <w:spacing w:after="0"/>
        <w:ind w:left="259"/>
      </w:pPr>
      <w:r>
        <w:rPr>
          <w:rFonts w:ascii="Arial" w:hAnsi="Arial" w:eastAsia="Arial"/>
          <w:sz w:val="17"/>
        </w:rPr>
        <w:t>Suitable for automatic or semi-automatic cap lining and heat-curing processes.</w:t>
      </w:r>
    </w:p>
    <w:p>
      <w:pPr>
        <w:pStyle w:val="ListBullet"/>
        <w:spacing w:after="0"/>
        <w:ind w:left="259"/>
      </w:pPr>
      <w:r>
        <w:rPr>
          <w:rFonts w:ascii="Arial" w:hAnsi="Arial" w:eastAsia="Arial"/>
          <w:sz w:val="17"/>
        </w:rPr>
        <w:t>Applications involving high-fat foods, aggressive flavouring oils, high alcohol content, pasteurisation or retort processes must be validated before mass production.</w:t>
      </w:r>
    </w:p>
    <w:p>
      <w:pPr>
        <w:pStyle w:val="Heading1"/>
      </w:pPr>
      <w:r>
        <w:rPr>
          <w:rFonts w:ascii="Arial" w:hAnsi="Arial" w:eastAsia="Arial"/>
        </w:rPr>
        <w:t>3. Key Features</w:t>
      </w:r>
    </w:p>
    <w:p>
      <w:pPr>
        <w:pStyle w:val="ListBullet"/>
        <w:spacing w:after="0"/>
        <w:ind w:left="259"/>
      </w:pPr>
      <w:r>
        <w:rPr>
          <w:rFonts w:ascii="Arial" w:hAnsi="Arial" w:eastAsia="Arial"/>
          <w:sz w:val="17"/>
        </w:rPr>
        <w:t>One-component ready-to-dispense PVC plastisol compound.</w:t>
      </w:r>
    </w:p>
    <w:p>
      <w:pPr>
        <w:pStyle w:val="ListBullet"/>
        <w:spacing w:after="0"/>
        <w:ind w:left="259"/>
      </w:pPr>
      <w:r>
        <w:rPr>
          <w:rFonts w:ascii="Arial" w:hAnsi="Arial" w:eastAsia="Arial"/>
          <w:sz w:val="17"/>
        </w:rPr>
        <w:t>DOP-free formulation; ATBC/DOTP-based plasticizer package can be adjusted according to customer requirements.</w:t>
      </w:r>
    </w:p>
    <w:p>
      <w:pPr>
        <w:pStyle w:val="ListBullet"/>
        <w:spacing w:after="0"/>
        <w:ind w:left="259"/>
      </w:pPr>
      <w:r>
        <w:rPr>
          <w:rFonts w:ascii="Arial" w:hAnsi="Arial" w:eastAsia="Arial"/>
          <w:sz w:val="17"/>
        </w:rPr>
        <w:t>Fine and uniform cellular foam after baking.</w:t>
      </w:r>
    </w:p>
    <w:p>
      <w:pPr>
        <w:pStyle w:val="ListBullet"/>
        <w:spacing w:after="0"/>
        <w:ind w:left="259"/>
      </w:pPr>
      <w:r>
        <w:rPr>
          <w:rFonts w:ascii="Arial" w:hAnsi="Arial" w:eastAsia="Arial"/>
          <w:sz w:val="17"/>
        </w:rPr>
        <w:t>Good compressibility, rebound and sealing performance after correct curing.</w:t>
      </w:r>
    </w:p>
    <w:p>
      <w:pPr>
        <w:pStyle w:val="ListBullet"/>
        <w:spacing w:after="0"/>
        <w:ind w:left="259"/>
      </w:pPr>
      <w:r>
        <w:rPr>
          <w:rFonts w:ascii="Arial" w:hAnsi="Arial" w:eastAsia="Arial"/>
          <w:sz w:val="17"/>
        </w:rPr>
        <w:t>Good adhesion to properly prepared tinplate, coated steel or aluminium closure substrates.</w:t>
      </w:r>
    </w:p>
    <w:p>
      <w:pPr>
        <w:pStyle w:val="ListBullet"/>
        <w:spacing w:after="0"/>
        <w:ind w:left="259"/>
      </w:pPr>
      <w:r>
        <w:rPr>
          <w:rFonts w:ascii="Arial" w:hAnsi="Arial" w:eastAsia="Arial"/>
          <w:sz w:val="17"/>
        </w:rPr>
        <w:t>Customized viscosity, colour, foaming ratio and curing window available upon technical evaluation.</w:t>
      </w:r>
    </w:p>
    <w:p>
      <w:pPr>
        <w:pStyle w:val="Heading1"/>
      </w:pPr>
      <w:r>
        <w:rPr>
          <w:rFonts w:ascii="Arial" w:hAnsi="Arial" w:eastAsia="Arial"/>
        </w:rPr>
        <w:t>4. Typical Properties</w:t>
      </w:r>
    </w:p>
    <w:p>
      <w:pPr>
        <w:spacing w:after="0" w:line="240" w:lineRule="auto"/>
      </w:pPr>
      <w:r>
        <w:rPr>
          <w:rFonts w:ascii="Arial" w:hAnsi="Arial" w:eastAsia="Arial"/>
          <w:sz w:val="17"/>
        </w:rPr>
        <w:t>The following values are typical production targets and shall not be regarded as final specifications unless separately confirmed in writing.</w:t>
      </w:r>
    </w:p>
    <w:tbl>
      <w:tblPr>
        <w:tblW w:type="auto" w:w="0"/>
        <w:jc w:val="center"/>
        <w:tblLayout w:type="autofit"/>
        <w:tblLook w:firstColumn="1" w:firstRow="1" w:lastColumn="0" w:lastRow="0" w:noHBand="0" w:noVBand="1" w:val="04A0"/>
      </w:tblPr>
      <w:tblGrid>
        <w:gridCol w:w="5314"/>
        <w:gridCol w:w="5314"/>
      </w:tblGrid>
      <w:tr>
        <w:tc>
          <w:tcPr>
            <w:tcW w:type="dxa" w:w="5314"/>
            <w:vAlign w:val="center"/>
            <w:tcBorders>
              <w:top w:sz="4" w:val="single" w:color="D9D9D9"/>
              <w:left w:sz="4" w:val="single" w:color="D9D9D9"/>
              <w:bottom w:sz="4" w:val="single" w:color="D9D9D9"/>
              <w:right w:sz="4" w:val="single" w:color="D9D9D9"/>
            </w:tcBorders>
            <w:shd w:fill="1F4E79"/>
          </w:tcPr>
          <w:p>
            <w:pPr>
              <w:spacing w:after="0"/>
            </w:pPr>
            <w:r/>
            <w:r>
              <w:rPr>
                <w:rFonts w:ascii="Arial" w:hAnsi="Arial" w:eastAsia="Arial"/>
                <w:b/>
                <w:color w:val="FFFFFF"/>
                <w:sz w:val="16"/>
              </w:rPr>
              <w:t>Property</w:t>
            </w:r>
          </w:p>
        </w:tc>
        <w:tc>
          <w:tcPr>
            <w:tcW w:type="dxa" w:w="5314"/>
            <w:vAlign w:val="center"/>
            <w:tcBorders>
              <w:top w:sz="4" w:val="single" w:color="D9D9D9"/>
              <w:left w:sz="4" w:val="single" w:color="D9D9D9"/>
              <w:bottom w:sz="4" w:val="single" w:color="D9D9D9"/>
              <w:right w:sz="4" w:val="single" w:color="D9D9D9"/>
            </w:tcBorders>
            <w:shd w:fill="1F4E79"/>
          </w:tcPr>
          <w:p>
            <w:pPr>
              <w:spacing w:after="0"/>
            </w:pPr>
            <w:r/>
            <w:r>
              <w:rPr>
                <w:rFonts w:ascii="Arial" w:hAnsi="Arial" w:eastAsia="Arial"/>
                <w:b/>
                <w:color w:val="FFFFFF"/>
                <w:sz w:val="16"/>
              </w:rPr>
              <w:t>Typical Value / Description</w:t>
            </w:r>
          </w:p>
        </w:tc>
      </w:tr>
      <w:tr>
        <w:tc>
          <w:tcPr>
            <w:tcW w:type="dxa" w:w="5314"/>
          </w:tcPr>
          <w:p>
            <w:pPr>
              <w:spacing w:after="0"/>
            </w:pPr>
            <w:r/>
            <w:r>
              <w:rPr>
                <w:rFonts w:ascii="Arial" w:hAnsi="Arial" w:eastAsia="Arial"/>
                <w:b/>
                <w:sz w:val="16"/>
              </w:rPr>
              <w:t>Appearance</w:t>
            </w:r>
          </w:p>
        </w:tc>
        <w:tc>
          <w:tcPr>
            <w:tcW w:type="dxa" w:w="5314"/>
          </w:tcPr>
          <w:p>
            <w:pPr>
              <w:spacing w:after="0"/>
            </w:pPr>
            <w:r/>
            <w:r>
              <w:rPr>
                <w:rFonts w:ascii="Arial" w:hAnsi="Arial" w:eastAsia="Arial"/>
                <w:b w:val="0"/>
                <w:sz w:val="16"/>
              </w:rPr>
              <w:t>Light yellow to off-white viscous liquid</w:t>
            </w:r>
          </w:p>
        </w:tc>
      </w:tr>
      <w:tr>
        <w:tc>
          <w:tcPr>
            <w:tcW w:type="dxa" w:w="5314"/>
          </w:tcPr>
          <w:p>
            <w:pPr>
              <w:spacing w:after="0"/>
            </w:pPr>
            <w:r/>
            <w:r>
              <w:rPr>
                <w:rFonts w:ascii="Arial" w:hAnsi="Arial" w:eastAsia="Arial"/>
                <w:b/>
                <w:sz w:val="16"/>
              </w:rPr>
              <w:t>Base polymer</w:t>
            </w:r>
          </w:p>
        </w:tc>
        <w:tc>
          <w:tcPr>
            <w:tcW w:type="dxa" w:w="5314"/>
          </w:tcPr>
          <w:p>
            <w:pPr>
              <w:spacing w:after="0"/>
            </w:pPr>
            <w:r/>
            <w:r>
              <w:rPr>
                <w:rFonts w:ascii="Arial" w:hAnsi="Arial" w:eastAsia="Arial"/>
                <w:b w:val="0"/>
                <w:sz w:val="16"/>
              </w:rPr>
              <w:t>PVC plastisol</w:t>
            </w:r>
          </w:p>
        </w:tc>
      </w:tr>
      <w:tr>
        <w:tc>
          <w:tcPr>
            <w:tcW w:type="dxa" w:w="5314"/>
          </w:tcPr>
          <w:p>
            <w:pPr>
              <w:spacing w:after="0"/>
            </w:pPr>
            <w:r/>
            <w:r>
              <w:rPr>
                <w:rFonts w:ascii="Arial" w:hAnsi="Arial" w:eastAsia="Arial"/>
                <w:b/>
                <w:sz w:val="16"/>
              </w:rPr>
              <w:t>Plasticizer system</w:t>
            </w:r>
          </w:p>
        </w:tc>
        <w:tc>
          <w:tcPr>
            <w:tcW w:type="dxa" w:w="5314"/>
          </w:tcPr>
          <w:p>
            <w:pPr>
              <w:spacing w:after="0"/>
            </w:pPr>
            <w:r/>
            <w:r>
              <w:rPr>
                <w:rFonts w:ascii="Arial" w:hAnsi="Arial" w:eastAsia="Arial"/>
                <w:b w:val="0"/>
                <w:sz w:val="16"/>
              </w:rPr>
              <w:t>DOP-free ATBC/DOTP-based system</w:t>
            </w:r>
          </w:p>
        </w:tc>
      </w:tr>
      <w:tr>
        <w:tc>
          <w:tcPr>
            <w:tcW w:type="dxa" w:w="5314"/>
          </w:tcPr>
          <w:p>
            <w:pPr>
              <w:spacing w:after="0"/>
            </w:pPr>
            <w:r/>
            <w:r>
              <w:rPr>
                <w:rFonts w:ascii="Arial" w:hAnsi="Arial" w:eastAsia="Arial"/>
                <w:b/>
                <w:sz w:val="16"/>
              </w:rPr>
              <w:t>Foaming system</w:t>
            </w:r>
          </w:p>
        </w:tc>
        <w:tc>
          <w:tcPr>
            <w:tcW w:type="dxa" w:w="5314"/>
          </w:tcPr>
          <w:p>
            <w:pPr>
              <w:spacing w:after="0"/>
            </w:pPr>
            <w:r/>
            <w:r>
              <w:rPr>
                <w:rFonts w:ascii="Arial" w:hAnsi="Arial" w:eastAsia="Arial"/>
                <w:b w:val="0"/>
                <w:sz w:val="16"/>
              </w:rPr>
              <w:t>Heat-activated chemical foaming system</w:t>
            </w:r>
          </w:p>
        </w:tc>
      </w:tr>
      <w:tr>
        <w:tc>
          <w:tcPr>
            <w:tcW w:type="dxa" w:w="5314"/>
          </w:tcPr>
          <w:p>
            <w:pPr>
              <w:spacing w:after="0"/>
            </w:pPr>
            <w:r/>
            <w:r>
              <w:rPr>
                <w:rFonts w:ascii="Arial" w:hAnsi="Arial" w:eastAsia="Arial"/>
                <w:b/>
                <w:sz w:val="16"/>
              </w:rPr>
              <w:t>Liquid density at 25 °C</w:t>
            </w:r>
          </w:p>
        </w:tc>
        <w:tc>
          <w:tcPr>
            <w:tcW w:type="dxa" w:w="5314"/>
          </w:tcPr>
          <w:p>
            <w:pPr>
              <w:spacing w:after="0"/>
            </w:pPr>
            <w:r/>
            <w:r>
              <w:rPr>
                <w:rFonts w:ascii="Arial" w:hAnsi="Arial" w:eastAsia="Arial"/>
                <w:b w:val="0"/>
                <w:sz w:val="16"/>
              </w:rPr>
              <w:t>1.15-1.25 g/ml</w:t>
            </w:r>
          </w:p>
        </w:tc>
      </w:tr>
      <w:tr>
        <w:tc>
          <w:tcPr>
            <w:tcW w:type="dxa" w:w="5314"/>
          </w:tcPr>
          <w:p>
            <w:pPr>
              <w:spacing w:after="0"/>
            </w:pPr>
            <w:r/>
            <w:r>
              <w:rPr>
                <w:rFonts w:ascii="Arial" w:hAnsi="Arial" w:eastAsia="Arial"/>
                <w:b/>
                <w:sz w:val="16"/>
              </w:rPr>
              <w:t>Viscosity at 25 °C</w:t>
            </w:r>
          </w:p>
        </w:tc>
        <w:tc>
          <w:tcPr>
            <w:tcW w:type="dxa" w:w="5314"/>
          </w:tcPr>
          <w:p>
            <w:pPr>
              <w:spacing w:after="0"/>
            </w:pPr>
            <w:r/>
            <w:r>
              <w:rPr>
                <w:rFonts w:ascii="Arial" w:hAnsi="Arial" w:eastAsia="Arial"/>
                <w:b w:val="0"/>
                <w:sz w:val="16"/>
              </w:rPr>
              <w:t>2,200 ± 700 mPa·s, NDJ/Brookfield method, spindle and speed to be agreed</w:t>
            </w:r>
          </w:p>
        </w:tc>
      </w:tr>
      <w:tr>
        <w:tc>
          <w:tcPr>
            <w:tcW w:type="dxa" w:w="5314"/>
          </w:tcPr>
          <w:p>
            <w:pPr>
              <w:spacing w:after="0"/>
            </w:pPr>
            <w:r/>
            <w:r>
              <w:rPr>
                <w:rFonts w:ascii="Arial" w:hAnsi="Arial" w:eastAsia="Arial"/>
                <w:b/>
                <w:sz w:val="16"/>
              </w:rPr>
              <w:t>Foamed gasket density</w:t>
            </w:r>
          </w:p>
        </w:tc>
        <w:tc>
          <w:tcPr>
            <w:tcW w:type="dxa" w:w="5314"/>
          </w:tcPr>
          <w:p>
            <w:pPr>
              <w:spacing w:after="0"/>
            </w:pPr>
            <w:r/>
            <w:r>
              <w:rPr>
                <w:rFonts w:ascii="Arial" w:hAnsi="Arial" w:eastAsia="Arial"/>
                <w:b w:val="0"/>
                <w:sz w:val="16"/>
              </w:rPr>
              <w:t>0.55-0.75 g/cm³, depending on baking profile and application weight</w:t>
            </w:r>
          </w:p>
        </w:tc>
      </w:tr>
      <w:tr>
        <w:tc>
          <w:tcPr>
            <w:tcW w:type="dxa" w:w="5314"/>
          </w:tcPr>
          <w:p>
            <w:pPr>
              <w:spacing w:after="0"/>
            </w:pPr>
            <w:r/>
            <w:r>
              <w:rPr>
                <w:rFonts w:ascii="Arial" w:hAnsi="Arial" w:eastAsia="Arial"/>
                <w:b/>
                <w:sz w:val="16"/>
              </w:rPr>
              <w:t>Cured gasket appearance</w:t>
            </w:r>
          </w:p>
        </w:tc>
        <w:tc>
          <w:tcPr>
            <w:tcW w:type="dxa" w:w="5314"/>
          </w:tcPr>
          <w:p>
            <w:pPr>
              <w:spacing w:after="0"/>
            </w:pPr>
            <w:r/>
            <w:r>
              <w:rPr>
                <w:rFonts w:ascii="Arial" w:hAnsi="Arial" w:eastAsia="Arial"/>
                <w:b w:val="0"/>
                <w:sz w:val="16"/>
              </w:rPr>
              <w:t>Fine cellular foam, smooth surface, no visible cracking or large blisters</w:t>
            </w:r>
          </w:p>
        </w:tc>
      </w:tr>
      <w:tr>
        <w:tc>
          <w:tcPr>
            <w:tcW w:type="dxa" w:w="5314"/>
          </w:tcPr>
          <w:p>
            <w:pPr>
              <w:spacing w:after="0"/>
            </w:pPr>
            <w:r/>
            <w:r>
              <w:rPr>
                <w:rFonts w:ascii="Arial" w:hAnsi="Arial" w:eastAsia="Arial"/>
                <w:b/>
                <w:sz w:val="16"/>
              </w:rPr>
              <w:t>Typical hardness after curing</w:t>
            </w:r>
          </w:p>
        </w:tc>
        <w:tc>
          <w:tcPr>
            <w:tcW w:type="dxa" w:w="5314"/>
          </w:tcPr>
          <w:p>
            <w:pPr>
              <w:spacing w:after="0"/>
            </w:pPr>
            <w:r/>
            <w:r>
              <w:rPr>
                <w:rFonts w:ascii="Arial" w:hAnsi="Arial" w:eastAsia="Arial"/>
                <w:b w:val="0"/>
                <w:sz w:val="16"/>
              </w:rPr>
              <w:t>Shore C 30-45, adjustable according to closure design and sealing requirement</w:t>
            </w:r>
          </w:p>
        </w:tc>
      </w:tr>
      <w:tr>
        <w:tc>
          <w:tcPr>
            <w:tcW w:type="dxa" w:w="5314"/>
          </w:tcPr>
          <w:p>
            <w:pPr>
              <w:spacing w:after="0"/>
            </w:pPr>
            <w:r/>
            <w:r>
              <w:rPr>
                <w:rFonts w:ascii="Arial" w:hAnsi="Arial" w:eastAsia="Arial"/>
                <w:b/>
                <w:sz w:val="16"/>
              </w:rPr>
              <w:t>Recommended metal cap temperature</w:t>
            </w:r>
          </w:p>
        </w:tc>
        <w:tc>
          <w:tcPr>
            <w:tcW w:type="dxa" w:w="5314"/>
          </w:tcPr>
          <w:p>
            <w:pPr>
              <w:spacing w:after="0"/>
            </w:pPr>
            <w:r/>
            <w:r>
              <w:rPr>
                <w:rFonts w:ascii="Arial" w:hAnsi="Arial" w:eastAsia="Arial"/>
                <w:b w:val="0"/>
                <w:sz w:val="16"/>
              </w:rPr>
              <w:t>190-210 °C</w:t>
            </w:r>
          </w:p>
        </w:tc>
      </w:tr>
      <w:tr>
        <w:tc>
          <w:tcPr>
            <w:tcW w:type="dxa" w:w="5314"/>
          </w:tcPr>
          <w:p>
            <w:pPr>
              <w:spacing w:after="0"/>
            </w:pPr>
            <w:r/>
            <w:r>
              <w:rPr>
                <w:rFonts w:ascii="Arial" w:hAnsi="Arial" w:eastAsia="Arial"/>
                <w:b/>
                <w:sz w:val="16"/>
              </w:rPr>
              <w:t>Typical curing time at metal temperature</w:t>
            </w:r>
          </w:p>
        </w:tc>
        <w:tc>
          <w:tcPr>
            <w:tcW w:type="dxa" w:w="5314"/>
          </w:tcPr>
          <w:p>
            <w:pPr>
              <w:spacing w:after="0"/>
            </w:pPr>
            <w:r/>
            <w:r>
              <w:rPr>
                <w:rFonts w:ascii="Arial" w:hAnsi="Arial" w:eastAsia="Arial"/>
                <w:b w:val="0"/>
                <w:sz w:val="16"/>
              </w:rPr>
              <w:t>3-5 minutes</w:t>
            </w:r>
          </w:p>
        </w:tc>
      </w:tr>
      <w:tr>
        <w:tc>
          <w:tcPr>
            <w:tcW w:type="dxa" w:w="5314"/>
          </w:tcPr>
          <w:p>
            <w:pPr>
              <w:spacing w:after="0"/>
            </w:pPr>
            <w:r/>
            <w:r>
              <w:rPr>
                <w:rFonts w:ascii="Arial" w:hAnsi="Arial" w:eastAsia="Arial"/>
                <w:b/>
                <w:sz w:val="16"/>
              </w:rPr>
              <w:t>Shelf life</w:t>
            </w:r>
          </w:p>
        </w:tc>
        <w:tc>
          <w:tcPr>
            <w:tcW w:type="dxa" w:w="5314"/>
          </w:tcPr>
          <w:p>
            <w:pPr>
              <w:spacing w:after="0"/>
            </w:pPr>
            <w:r/>
            <w:r>
              <w:rPr>
                <w:rFonts w:ascii="Arial" w:hAnsi="Arial" w:eastAsia="Arial"/>
                <w:b w:val="0"/>
                <w:sz w:val="16"/>
              </w:rPr>
              <w:t>9 months from production date in unopened original packaging under recommended storage conditions</w:t>
            </w:r>
          </w:p>
        </w:tc>
      </w:tr>
    </w:tbl>
    <w:p>
      <w:pPr>
        <w:pStyle w:val="Heading1"/>
      </w:pPr>
      <w:r>
        <w:rPr>
          <w:rFonts w:ascii="Arial" w:hAnsi="Arial" w:eastAsia="Arial"/>
        </w:rPr>
        <w:t>5. Application and Processing Guidelines</w:t>
      </w:r>
    </w:p>
    <w:p>
      <w:pPr>
        <w:pStyle w:val="Heading2"/>
      </w:pPr>
      <w:r>
        <w:rPr>
          <w:rFonts w:ascii="Arial" w:hAnsi="Arial" w:eastAsia="Arial"/>
        </w:rPr>
        <w:t>5.1 Preparation Before Lining</w:t>
      </w:r>
    </w:p>
    <w:p>
      <w:pPr>
        <w:pStyle w:val="ListBullet"/>
        <w:spacing w:after="0"/>
        <w:ind w:left="259"/>
      </w:pPr>
      <w:r>
        <w:rPr>
          <w:rFonts w:ascii="Arial" w:hAnsi="Arial" w:eastAsia="Arial"/>
          <w:sz w:val="17"/>
        </w:rPr>
        <w:t>Keep the compound sealed before use and prevent contamination by water, solvent, dust or metal particles.</w:t>
      </w:r>
    </w:p>
    <w:p>
      <w:pPr>
        <w:pStyle w:val="ListBullet"/>
        <w:spacing w:after="0"/>
        <w:ind w:left="259"/>
      </w:pPr>
      <w:r>
        <w:rPr>
          <w:rFonts w:ascii="Arial" w:hAnsi="Arial" w:eastAsia="Arial"/>
          <w:sz w:val="17"/>
        </w:rPr>
        <w:t>Stir gently and uniformly before use if the material has been stored for an extended period. Avoid introducing excessive air bubbles.</w:t>
      </w:r>
    </w:p>
    <w:p>
      <w:pPr>
        <w:pStyle w:val="ListBullet"/>
        <w:spacing w:after="0"/>
        <w:ind w:left="259"/>
      </w:pPr>
      <w:r>
        <w:rPr>
          <w:rFonts w:ascii="Arial" w:hAnsi="Arial" w:eastAsia="Arial"/>
          <w:sz w:val="17"/>
        </w:rPr>
        <w:t>The cap groove and sealing area should be clean, dry and free from oil, loose coating, rust or other contamination.</w:t>
      </w:r>
    </w:p>
    <w:p>
      <w:pPr>
        <w:pStyle w:val="Heading2"/>
      </w:pPr>
      <w:r>
        <w:rPr>
          <w:rFonts w:ascii="Arial" w:hAnsi="Arial" w:eastAsia="Arial"/>
        </w:rPr>
        <w:t>5.2 Application Amount</w:t>
      </w:r>
    </w:p>
    <w:p>
      <w:pPr>
        <w:spacing w:after="0" w:line="240" w:lineRule="auto"/>
      </w:pPr>
      <w:r>
        <w:rPr>
          <w:rFonts w:ascii="Arial" w:hAnsi="Arial" w:eastAsia="Arial"/>
          <w:sz w:val="17"/>
        </w:rPr>
        <w:t>The application amount must be matched with the cap diameter, groove geometry, target gasket height, target compression and final leak-test requirement. For small screw caps, the correct dosage should be determined by trial according to the actual drawing and sample cap.</w:t>
      </w:r>
    </w:p>
    <w:p>
      <w:pPr>
        <w:spacing w:after="0" w:line="240" w:lineRule="auto"/>
      </w:pPr>
      <w:r>
        <w:rPr>
          <w:rFonts w:ascii="Arial" w:hAnsi="Arial" w:eastAsia="Arial"/>
          <w:sz w:val="17"/>
        </w:rPr>
        <w:t>As a starting method, calculate the groove volume and adjust the liquid shot weight according to the target foamed density. The final setting should be confirmed by gasket height, appearance, adhesion, torque/opening behaviour, vacuum or pressure leak testing and storage simulation.</w:t>
      </w:r>
    </w:p>
    <w:p>
      <w:pPr>
        <w:pStyle w:val="Heading2"/>
      </w:pPr>
      <w:r>
        <w:rPr>
          <w:rFonts w:ascii="Arial" w:hAnsi="Arial" w:eastAsia="Arial"/>
        </w:rPr>
        <w:t>5.3 Baking / Curing</w:t>
      </w:r>
    </w:p>
    <w:p>
      <w:pPr>
        <w:pStyle w:val="ListBullet"/>
        <w:spacing w:after="0"/>
        <w:ind w:left="259"/>
      </w:pPr>
      <w:r>
        <w:rPr>
          <w:rFonts w:ascii="Arial" w:hAnsi="Arial" w:eastAsia="Arial"/>
          <w:sz w:val="17"/>
        </w:rPr>
        <w:t>Recommended curing condition: 190-210 °C metal cap temperature for 3-5 minutes.</w:t>
      </w:r>
    </w:p>
    <w:p>
      <w:pPr>
        <w:pStyle w:val="ListBullet"/>
        <w:spacing w:after="0"/>
        <w:ind w:left="259"/>
      </w:pPr>
      <w:r>
        <w:rPr>
          <w:rFonts w:ascii="Arial" w:hAnsi="Arial" w:eastAsia="Arial"/>
          <w:sz w:val="17"/>
        </w:rPr>
        <w:t>The temperature refers to the actual cap temperature, not only the oven set temperature.</w:t>
      </w:r>
    </w:p>
    <w:p>
      <w:pPr>
        <w:pStyle w:val="ListBullet"/>
        <w:spacing w:after="0"/>
        <w:ind w:left="259"/>
      </w:pPr>
      <w:r>
        <w:rPr>
          <w:rFonts w:ascii="Arial" w:hAnsi="Arial" w:eastAsia="Arial"/>
          <w:sz w:val="17"/>
        </w:rPr>
        <w:t>Higher cap temperature generally requires shorter curing time; larger gasket volume generally requires longer curing time.</w:t>
      </w:r>
    </w:p>
    <w:p>
      <w:pPr>
        <w:pStyle w:val="ListBullet"/>
        <w:spacing w:after="0"/>
        <w:ind w:left="259"/>
      </w:pPr>
      <w:r>
        <w:rPr>
          <w:rFonts w:ascii="Arial" w:hAnsi="Arial" w:eastAsia="Arial"/>
          <w:sz w:val="17"/>
        </w:rPr>
        <w:t>If the gasket shows coarse cells, blisters or surface rupture, reduce the oven temperature by 3-5 °C or adjust line speed.</w:t>
      </w:r>
    </w:p>
    <w:p>
      <w:pPr>
        <w:pStyle w:val="ListBullet"/>
        <w:spacing w:after="0"/>
        <w:ind w:left="259"/>
      </w:pPr>
      <w:r>
        <w:rPr>
          <w:rFonts w:ascii="Arial" w:hAnsi="Arial" w:eastAsia="Arial"/>
          <w:sz w:val="17"/>
        </w:rPr>
        <w:t>If the gasket is under-fused, weak, sticky or has poor rebound, increase the actual cap temperature or extend curing time.</w:t>
      </w:r>
    </w:p>
    <w:p>
      <w:pPr>
        <w:pStyle w:val="ListBullet"/>
        <w:spacing w:after="0"/>
        <w:ind w:left="259"/>
      </w:pPr>
      <w:r>
        <w:rPr>
          <w:rFonts w:ascii="Arial" w:hAnsi="Arial" w:eastAsia="Arial"/>
          <w:sz w:val="17"/>
        </w:rPr>
        <w:t>Allow the caps to cool fully before stacking, packing or functional testing.</w:t>
      </w:r>
    </w:p>
    <w:p>
      <w:pPr>
        <w:pStyle w:val="Heading1"/>
      </w:pPr>
      <w:r>
        <w:rPr>
          <w:rFonts w:ascii="Arial" w:hAnsi="Arial" w:eastAsia="Arial"/>
        </w:rPr>
        <w:t>6. Recommended Quality Control Items</w:t>
      </w:r>
    </w:p>
    <w:tbl>
      <w:tblPr>
        <w:tblW w:type="auto" w:w="0"/>
        <w:jc w:val="center"/>
        <w:tblLayout w:type="autofit"/>
        <w:tblLook w:firstColumn="1" w:firstRow="1" w:lastColumn="0" w:lastRow="0" w:noHBand="0" w:noVBand="1" w:val="04A0"/>
      </w:tblPr>
      <w:tblGrid>
        <w:gridCol w:w="5314"/>
        <w:gridCol w:w="5314"/>
      </w:tblGrid>
      <w:tr>
        <w:tc>
          <w:tcPr>
            <w:tcW w:type="dxa" w:w="5314"/>
            <w:vAlign w:val="center"/>
            <w:tcBorders>
              <w:top w:sz="4" w:val="single" w:color="D9D9D9"/>
              <w:left w:sz="4" w:val="single" w:color="D9D9D9"/>
              <w:bottom w:sz="4" w:val="single" w:color="D9D9D9"/>
              <w:right w:sz="4" w:val="single" w:color="D9D9D9"/>
            </w:tcBorders>
            <w:shd w:fill="1F4E79"/>
          </w:tcPr>
          <w:p>
            <w:pPr>
              <w:spacing w:after="0"/>
            </w:pPr>
            <w:r/>
            <w:r>
              <w:rPr>
                <w:rFonts w:ascii="Arial" w:hAnsi="Arial" w:eastAsia="Arial"/>
                <w:b/>
                <w:color w:val="FFFFFF"/>
                <w:sz w:val="16"/>
              </w:rPr>
              <w:t>Control Item</w:t>
            </w:r>
          </w:p>
        </w:tc>
        <w:tc>
          <w:tcPr>
            <w:tcW w:type="dxa" w:w="5314"/>
            <w:vAlign w:val="center"/>
            <w:tcBorders>
              <w:top w:sz="4" w:val="single" w:color="D9D9D9"/>
              <w:left w:sz="4" w:val="single" w:color="D9D9D9"/>
              <w:bottom w:sz="4" w:val="single" w:color="D9D9D9"/>
              <w:right w:sz="4" w:val="single" w:color="D9D9D9"/>
            </w:tcBorders>
            <w:shd w:fill="1F4E79"/>
          </w:tcPr>
          <w:p>
            <w:pPr>
              <w:spacing w:after="0"/>
            </w:pPr>
            <w:r/>
            <w:r>
              <w:rPr>
                <w:rFonts w:ascii="Arial" w:hAnsi="Arial" w:eastAsia="Arial"/>
                <w:b/>
                <w:color w:val="FFFFFF"/>
                <w:sz w:val="16"/>
              </w:rPr>
              <w:t>Recommended Check Point</w:t>
            </w:r>
          </w:p>
        </w:tc>
      </w:tr>
      <w:tr>
        <w:tc>
          <w:tcPr>
            <w:tcW w:type="dxa" w:w="5314"/>
          </w:tcPr>
          <w:p>
            <w:pPr>
              <w:spacing w:after="0"/>
            </w:pPr>
            <w:r/>
            <w:r>
              <w:rPr>
                <w:rFonts w:ascii="Arial" w:hAnsi="Arial" w:eastAsia="Arial"/>
                <w:b/>
                <w:sz w:val="16"/>
              </w:rPr>
              <w:t>Incoming cap inspection</w:t>
            </w:r>
          </w:p>
        </w:tc>
        <w:tc>
          <w:tcPr>
            <w:tcW w:type="dxa" w:w="5314"/>
          </w:tcPr>
          <w:p>
            <w:pPr>
              <w:spacing w:after="0"/>
            </w:pPr>
            <w:r/>
            <w:r>
              <w:rPr>
                <w:rFonts w:ascii="Arial" w:hAnsi="Arial" w:eastAsia="Arial"/>
                <w:b w:val="0"/>
                <w:sz w:val="16"/>
              </w:rPr>
              <w:t>Coating condition, groove dimensions, surface cleanliness, scratches, deformation</w:t>
            </w:r>
          </w:p>
        </w:tc>
      </w:tr>
      <w:tr>
        <w:tc>
          <w:tcPr>
            <w:tcW w:type="dxa" w:w="5314"/>
          </w:tcPr>
          <w:p>
            <w:pPr>
              <w:spacing w:after="0"/>
            </w:pPr>
            <w:r/>
            <w:r>
              <w:rPr>
                <w:rFonts w:ascii="Arial" w:hAnsi="Arial" w:eastAsia="Arial"/>
                <w:b/>
                <w:sz w:val="16"/>
              </w:rPr>
              <w:t>Compound inspection</w:t>
            </w:r>
          </w:p>
        </w:tc>
        <w:tc>
          <w:tcPr>
            <w:tcW w:type="dxa" w:w="5314"/>
          </w:tcPr>
          <w:p>
            <w:pPr>
              <w:spacing w:after="0"/>
            </w:pPr>
            <w:r/>
            <w:r>
              <w:rPr>
                <w:rFonts w:ascii="Arial" w:hAnsi="Arial" w:eastAsia="Arial"/>
                <w:b w:val="0"/>
                <w:sz w:val="16"/>
              </w:rPr>
              <w:t>Batch number, production date, appearance, viscosity, density, contamination check</w:t>
            </w:r>
          </w:p>
        </w:tc>
      </w:tr>
      <w:tr>
        <w:tc>
          <w:tcPr>
            <w:tcW w:type="dxa" w:w="5314"/>
          </w:tcPr>
          <w:p>
            <w:pPr>
              <w:spacing w:after="0"/>
            </w:pPr>
            <w:r/>
            <w:r>
              <w:rPr>
                <w:rFonts w:ascii="Arial" w:hAnsi="Arial" w:eastAsia="Arial"/>
                <w:b/>
                <w:sz w:val="16"/>
              </w:rPr>
              <w:t>Process control</w:t>
            </w:r>
          </w:p>
        </w:tc>
        <w:tc>
          <w:tcPr>
            <w:tcW w:type="dxa" w:w="5314"/>
          </w:tcPr>
          <w:p>
            <w:pPr>
              <w:spacing w:after="0"/>
            </w:pPr>
            <w:r/>
            <w:r>
              <w:rPr>
                <w:rFonts w:ascii="Arial" w:hAnsi="Arial" w:eastAsia="Arial"/>
                <w:b w:val="0"/>
                <w:sz w:val="16"/>
              </w:rPr>
              <w:t>Shot weight per cap, oven profile, actual metal cap temperature, line speed, curing time</w:t>
            </w:r>
          </w:p>
        </w:tc>
      </w:tr>
      <w:tr>
        <w:tc>
          <w:tcPr>
            <w:tcW w:type="dxa" w:w="5314"/>
          </w:tcPr>
          <w:p>
            <w:pPr>
              <w:spacing w:after="0"/>
            </w:pPr>
            <w:r/>
            <w:r>
              <w:rPr>
                <w:rFonts w:ascii="Arial" w:hAnsi="Arial" w:eastAsia="Arial"/>
                <w:b/>
                <w:sz w:val="16"/>
              </w:rPr>
              <w:t>Finished gasket inspection</w:t>
            </w:r>
          </w:p>
        </w:tc>
        <w:tc>
          <w:tcPr>
            <w:tcW w:type="dxa" w:w="5314"/>
          </w:tcPr>
          <w:p>
            <w:pPr>
              <w:spacing w:after="0"/>
            </w:pPr>
            <w:r/>
            <w:r>
              <w:rPr>
                <w:rFonts w:ascii="Arial" w:hAnsi="Arial" w:eastAsia="Arial"/>
                <w:b w:val="0"/>
                <w:sz w:val="16"/>
              </w:rPr>
              <w:t>Gasket height, foam cell structure, surface smoothness, adhesion, hardness, rebound</w:t>
            </w:r>
          </w:p>
        </w:tc>
      </w:tr>
      <w:tr>
        <w:tc>
          <w:tcPr>
            <w:tcW w:type="dxa" w:w="5314"/>
          </w:tcPr>
          <w:p>
            <w:pPr>
              <w:spacing w:after="0"/>
            </w:pPr>
            <w:r/>
            <w:r>
              <w:rPr>
                <w:rFonts w:ascii="Arial" w:hAnsi="Arial" w:eastAsia="Arial"/>
                <w:b/>
                <w:sz w:val="16"/>
              </w:rPr>
              <w:t>Functional testing</w:t>
            </w:r>
          </w:p>
        </w:tc>
        <w:tc>
          <w:tcPr>
            <w:tcW w:type="dxa" w:w="5314"/>
          </w:tcPr>
          <w:p>
            <w:pPr>
              <w:spacing w:after="0"/>
            </w:pPr>
            <w:r/>
            <w:r>
              <w:rPr>
                <w:rFonts w:ascii="Arial" w:hAnsi="Arial" w:eastAsia="Arial"/>
                <w:b w:val="0"/>
                <w:sz w:val="16"/>
              </w:rPr>
              <w:t>Torque/opening behaviour, vacuum or pressure leak test, storage simulation, sensory check if required</w:t>
            </w:r>
          </w:p>
        </w:tc>
      </w:tr>
    </w:tbl>
    <w:p>
      <w:pPr>
        <w:pStyle w:val="Heading1"/>
      </w:pPr>
      <w:r>
        <w:rPr>
          <w:rFonts w:ascii="Arial" w:hAnsi="Arial" w:eastAsia="Arial"/>
        </w:rPr>
        <w:t>7. Food-Contact and Regulatory Statement</w:t>
      </w:r>
    </w:p>
    <w:p>
      <w:pPr>
        <w:spacing w:after="0" w:line="240" w:lineRule="auto"/>
      </w:pPr>
      <w:r>
        <w:rPr>
          <w:rFonts w:ascii="Arial" w:hAnsi="Arial" w:eastAsia="Arial"/>
          <w:sz w:val="17"/>
        </w:rPr>
        <w:t>This Technical Data Sheet is not a Declaration of Compliance and shall not replace formal food-contact testing or regulatory review.</w:t>
      </w:r>
    </w:p>
    <w:p>
      <w:pPr>
        <w:spacing w:after="0" w:line="240" w:lineRule="auto"/>
      </w:pPr>
      <w:r>
        <w:rPr>
          <w:rFonts w:ascii="Arial" w:hAnsi="Arial" w:eastAsia="Arial"/>
          <w:sz w:val="17"/>
        </w:rPr>
        <w:t>The product can be supplied for food-contact closure applications when the final formulation and intended use have been technically confirmed. Compliance depends on the complete closure construction, gasket mass, curing condition, food type, contact time, contact temperature, filling process, sterilisation condition and applicable destination-market regulations.</w:t>
      </w:r>
    </w:p>
    <w:p>
      <w:pPr>
        <w:spacing w:after="0" w:line="240" w:lineRule="auto"/>
      </w:pPr>
      <w:r>
        <w:rPr>
          <w:rFonts w:ascii="Arial" w:hAnsi="Arial" w:eastAsia="Arial"/>
          <w:sz w:val="17"/>
        </w:rPr>
        <w:t>Before commercial use, the customer or closure manufacturer should arrange suitable migration testing, extractables testing, sensory/odour testing and end-use compatibility testing according to the target market requirements, such as EU food-contact legislation, FDA food-contact requirements or other local regulations.</w:t>
      </w:r>
    </w:p>
    <w:p>
      <w:pPr>
        <w:spacing w:after="0" w:line="240" w:lineRule="auto"/>
      </w:pPr>
      <w:r>
        <w:rPr>
          <w:rFonts w:ascii="Arial" w:hAnsi="Arial" w:eastAsia="Arial"/>
          <w:sz w:val="17"/>
        </w:rPr>
        <w:t>A formal Declaration of Compliance or test report can only be issued according to a confirmed formulation, confirmed application condition and agreed testing standard.</w:t>
      </w:r>
    </w:p>
    <w:p>
      <w:pPr>
        <w:pStyle w:val="Heading1"/>
      </w:pPr>
      <w:r>
        <w:rPr>
          <w:rFonts w:ascii="Arial" w:hAnsi="Arial" w:eastAsia="Arial"/>
        </w:rPr>
        <w:t>8. Packaging</w:t>
      </w:r>
    </w:p>
    <w:p>
      <w:pPr>
        <w:spacing w:after="0" w:line="240" w:lineRule="auto"/>
      </w:pPr>
      <w:r>
        <w:rPr>
          <w:rFonts w:ascii="Arial" w:hAnsi="Arial" w:eastAsia="Arial"/>
          <w:sz w:val="17"/>
        </w:rPr>
        <w:t>Standard packaging: 22 kg pail or 250 kg steel drum. Other packaging sizes may be available upon request and technical confirmation.</w:t>
      </w:r>
    </w:p>
    <w:p>
      <w:pPr>
        <w:pStyle w:val="Heading1"/>
      </w:pPr>
      <w:r>
        <w:rPr>
          <w:rFonts w:ascii="Arial" w:hAnsi="Arial" w:eastAsia="Arial"/>
        </w:rPr>
        <w:t>9. Storage and Shelf Life</w:t>
      </w:r>
    </w:p>
    <w:p>
      <w:pPr>
        <w:pStyle w:val="ListBullet"/>
        <w:spacing w:after="0"/>
        <w:ind w:left="259"/>
      </w:pPr>
      <w:r>
        <w:rPr>
          <w:rFonts w:ascii="Arial" w:hAnsi="Arial" w:eastAsia="Arial"/>
          <w:sz w:val="17"/>
        </w:rPr>
        <w:t>Store in the original sealed container at 5-37 °C.</w:t>
      </w:r>
    </w:p>
    <w:p>
      <w:pPr>
        <w:pStyle w:val="ListBullet"/>
        <w:spacing w:after="0"/>
        <w:ind w:left="259"/>
      </w:pPr>
      <w:r>
        <w:rPr>
          <w:rFonts w:ascii="Arial" w:hAnsi="Arial" w:eastAsia="Arial"/>
          <w:sz w:val="17"/>
        </w:rPr>
        <w:t>Avoid direct sunlight, high heat, freezing, rain, water and solvent contamination.</w:t>
      </w:r>
    </w:p>
    <w:p>
      <w:pPr>
        <w:pStyle w:val="ListBullet"/>
        <w:spacing w:after="0"/>
        <w:ind w:left="259"/>
      </w:pPr>
      <w:r>
        <w:rPr>
          <w:rFonts w:ascii="Arial" w:hAnsi="Arial" w:eastAsia="Arial"/>
          <w:sz w:val="17"/>
        </w:rPr>
        <w:t>Keep the container closed immediately after use.</w:t>
      </w:r>
    </w:p>
    <w:p>
      <w:pPr>
        <w:pStyle w:val="ListBullet"/>
        <w:spacing w:after="0"/>
        <w:ind w:left="259"/>
      </w:pPr>
      <w:r>
        <w:rPr>
          <w:rFonts w:ascii="Arial" w:hAnsi="Arial" w:eastAsia="Arial"/>
          <w:sz w:val="17"/>
        </w:rPr>
        <w:t>Recommended shelf life is 9 months from production date under proper storage conditions.</w:t>
      </w:r>
    </w:p>
    <w:p>
      <w:pPr>
        <w:pStyle w:val="ListBullet"/>
        <w:spacing w:after="0"/>
        <w:ind w:left="259"/>
      </w:pPr>
      <w:r>
        <w:rPr>
          <w:rFonts w:ascii="Arial" w:hAnsi="Arial" w:eastAsia="Arial"/>
          <w:sz w:val="17"/>
        </w:rPr>
        <w:t>Slight colour darkening during storage or after curing may occur and does not necessarily indicate quality failure, provided the material remains within agreed specification.</w:t>
      </w:r>
    </w:p>
    <w:p>
      <w:pPr>
        <w:pStyle w:val="Heading1"/>
      </w:pPr>
      <w:r>
        <w:rPr>
          <w:rFonts w:ascii="Arial" w:hAnsi="Arial" w:eastAsia="Arial"/>
        </w:rPr>
        <w:t>10. Handling Precautions</w:t>
      </w:r>
    </w:p>
    <w:p>
      <w:pPr>
        <w:pStyle w:val="ListBullet"/>
        <w:spacing w:after="0"/>
        <w:ind w:left="259"/>
      </w:pPr>
      <w:r>
        <w:rPr>
          <w:rFonts w:ascii="Arial" w:hAnsi="Arial" w:eastAsia="Arial"/>
          <w:sz w:val="17"/>
        </w:rPr>
        <w:t>Do not dilute with water or solvent unless specifically approved by the supplier.</w:t>
      </w:r>
    </w:p>
    <w:p>
      <w:pPr>
        <w:pStyle w:val="ListBullet"/>
        <w:spacing w:after="0"/>
        <w:ind w:left="259"/>
      </w:pPr>
      <w:r>
        <w:rPr>
          <w:rFonts w:ascii="Arial" w:hAnsi="Arial" w:eastAsia="Arial"/>
          <w:sz w:val="17"/>
        </w:rPr>
        <w:t>Clean dispensing equipment before product changeover to avoid cross-contamination.</w:t>
      </w:r>
    </w:p>
    <w:p>
      <w:pPr>
        <w:pStyle w:val="ListBullet"/>
        <w:spacing w:after="0"/>
        <w:ind w:left="259"/>
      </w:pPr>
      <w:r>
        <w:rPr>
          <w:rFonts w:ascii="Arial" w:hAnsi="Arial" w:eastAsia="Arial"/>
          <w:sz w:val="17"/>
        </w:rPr>
        <w:t>Do not mix different batches or different suppliers' compounds without validation.</w:t>
      </w:r>
    </w:p>
    <w:p>
      <w:pPr>
        <w:pStyle w:val="ListBullet"/>
        <w:spacing w:after="0"/>
        <w:ind w:left="259"/>
      </w:pPr>
      <w:r>
        <w:rPr>
          <w:rFonts w:ascii="Arial" w:hAnsi="Arial" w:eastAsia="Arial"/>
          <w:sz w:val="17"/>
        </w:rPr>
        <w:t>Use appropriate ventilation during baking and follow local health, safety and environmental regulations.</w:t>
      </w:r>
    </w:p>
    <w:p>
      <w:pPr>
        <w:pStyle w:val="ListBullet"/>
        <w:spacing w:after="0"/>
        <w:ind w:left="259"/>
      </w:pPr>
      <w:r>
        <w:rPr>
          <w:rFonts w:ascii="Arial" w:hAnsi="Arial" w:eastAsia="Arial"/>
          <w:sz w:val="17"/>
        </w:rPr>
        <w:t>A Safety Data Sheet is available upon request.</w:t>
      </w:r>
    </w:p>
    <w:p>
      <w:pPr>
        <w:pStyle w:val="Heading1"/>
      </w:pPr>
      <w:r>
        <w:rPr>
          <w:rFonts w:ascii="Arial" w:hAnsi="Arial" w:eastAsia="Arial"/>
        </w:rPr>
        <w:t>11. Disclaimer</w:t>
      </w:r>
    </w:p>
    <w:p>
      <w:pPr>
        <w:spacing w:after="0" w:line="240" w:lineRule="auto"/>
      </w:pPr>
      <w:r>
        <w:rPr>
          <w:rFonts w:ascii="Arial" w:hAnsi="Arial" w:eastAsia="Arial"/>
          <w:sz w:val="17"/>
        </w:rPr>
        <w:t>All information in this document is based on our current technical knowledge and internal evaluation. It is provided for reference only. Because cap design, lining equipment, baking oven, filling process, food contents and storage conditions may vary, the customer is responsible for validating suitability, performance and compliance under actual production and end-use conditions. No warranty is given beyond the confirmed product specification and written sales agreement.</w:t>
      </w:r>
    </w:p>
    <w:sectPr w:rsidR="00FC693F" w:rsidRPr="0006063C" w:rsidSect="00034616">
      <w:footerReference w:type="default" r:id="rId9"/>
      <w:pgSz w:w="12240" w:h="15840"/>
      <w:pgMar w:top="547" w:right="806" w:bottom="547"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olor w:val="646464"/>
        <w:sz w:val="15"/>
      </w:rPr>
      <w:t>Jiangyin Jinyu Packaging Materials Co., Ltd. | Technical Data Sheet | JY-PVC FS Series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0"/>
      <w:outlineLvl w:val="0"/>
    </w:pPr>
    <w:rPr>
      <w:rFonts w:asciiTheme="majorHAnsi" w:eastAsiaTheme="majorEastAsia" w:hAnsiTheme="majorHAnsi" w:cstheme="majorBidi" w:ascii="Arial" w:hAnsi="Arial" w:eastAsia="Arial"/>
      <w:b/>
      <w:bCs/>
      <w:color w:val="1F4E79"/>
      <w:sz w:val="20"/>
      <w:szCs w:val="28"/>
    </w:rPr>
  </w:style>
  <w:style w:type="paragraph" w:styleId="Heading2">
    <w:name w:val="heading 2"/>
    <w:basedOn w:val="Normal"/>
    <w:next w:val="Normal"/>
    <w:link w:val="Heading2Char"/>
    <w:uiPriority w:val="9"/>
    <w:unhideWhenUsed/>
    <w:qFormat/>
    <w:rsid w:val="00FC693F"/>
    <w:pPr>
      <w:keepNext/>
      <w:keepLines/>
      <w:spacing w:before="80" w:after="20"/>
      <w:outlineLvl w:val="1"/>
    </w:pPr>
    <w:rPr>
      <w:rFonts w:asciiTheme="majorHAnsi" w:eastAsiaTheme="majorEastAsia" w:hAnsiTheme="majorHAnsi" w:cstheme="majorBidi" w:ascii="Arial" w:hAnsi="Arial" w:eastAsia="Arial"/>
      <w:b/>
      <w:bCs/>
      <w:color w:val="1F4E79"/>
      <w:sz w:val="18"/>
      <w:szCs w:val="26"/>
    </w:rPr>
  </w:style>
  <w:style w:type="paragraph" w:styleId="Heading3">
    <w:name w:val="heading 3"/>
    <w:basedOn w:val="Normal"/>
    <w:next w:val="Normal"/>
    <w:link w:val="Heading3Char"/>
    <w:uiPriority w:val="9"/>
    <w:unhideWhenUsed/>
    <w:qFormat/>
    <w:rsid w:val="00FC693F"/>
    <w:pPr>
      <w:keepNext/>
      <w:keepLines/>
      <w:spacing w:before="80" w:after="20"/>
      <w:outlineLvl w:val="2"/>
    </w:pPr>
    <w:rPr>
      <w:rFonts w:asciiTheme="majorHAnsi" w:eastAsiaTheme="majorEastAsia" w:hAnsiTheme="majorHAnsi" w:cstheme="majorBidi" w:ascii="Arial" w:hAnsi="Arial" w:eastAsia="Arial"/>
      <w:b/>
      <w:bCs/>
      <w:color w:val="1F4E79"/>
      <w:sz w:val="1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